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8A" w:rsidRDefault="009B718A" w:rsidP="009B718A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9B718A" w:rsidRPr="009B718A" w:rsidRDefault="009B718A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行政院農業委員會林務局嘉義林區管理處　函</w:t>
      </w:r>
      <w:r w:rsidR="000D184D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9B718A" w:rsidRDefault="009B718A" w:rsidP="009B718A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9B718A" w:rsidRDefault="009B718A" w:rsidP="009B718A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6FF"/>
                      </v:shape>
                    </w:pict>
                  </w:r>
                </w:p>
                <w:p w:rsidR="009B718A" w:rsidRDefault="009B718A" w:rsidP="009B718A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1050002725</w:t>
                  </w:r>
                </w:p>
                <w:p w:rsidR="00000000" w:rsidRPr="009B718A" w:rsidRDefault="009B718A" w:rsidP="009B718A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0D184D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0D184D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0D184D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9B718A" w:rsidRDefault="009B718A" w:rsidP="009B718A">
      <w:pPr>
        <w:pStyle w:val="af3"/>
      </w:pPr>
      <w:r>
        <w:rPr>
          <w:rFonts w:hint="eastAsia"/>
        </w:rPr>
        <w:t>機關地址：</w:t>
      </w:r>
      <w:r>
        <w:t>97051花蓮市林政街1號</w:t>
      </w:r>
    </w:p>
    <w:p w:rsidR="009B718A" w:rsidRDefault="009B718A" w:rsidP="009B718A">
      <w:pPr>
        <w:pStyle w:val="a7"/>
        <w:rPr>
          <w:rFonts w:hint="eastAsia"/>
        </w:rPr>
      </w:pPr>
      <w:r>
        <w:rPr>
          <w:rFonts w:hint="eastAsia"/>
        </w:rPr>
        <w:t>承辦人：陳淑芳</w:t>
      </w:r>
    </w:p>
    <w:p w:rsidR="009B718A" w:rsidRDefault="009B718A" w:rsidP="009B718A">
      <w:pPr>
        <w:pStyle w:val="a7"/>
      </w:pPr>
      <w:r>
        <w:rPr>
          <w:rFonts w:hint="eastAsia"/>
        </w:rPr>
        <w:t>電話：</w:t>
      </w:r>
      <w:r>
        <w:t>05-2787006#143</w:t>
      </w:r>
    </w:p>
    <w:p w:rsidR="009B718A" w:rsidRDefault="009B718A" w:rsidP="009B718A">
      <w:pPr>
        <w:pStyle w:val="a7"/>
      </w:pPr>
      <w:r>
        <w:rPr>
          <w:rFonts w:hint="eastAsia"/>
        </w:rPr>
        <w:t>傳真：</w:t>
      </w:r>
      <w:r>
        <w:t>05-2753603</w:t>
      </w:r>
    </w:p>
    <w:p w:rsidR="009B718A" w:rsidRDefault="009B718A" w:rsidP="009B718A">
      <w:pPr>
        <w:pStyle w:val="a7"/>
      </w:pPr>
      <w:r>
        <w:rPr>
          <w:rFonts w:hint="eastAsia"/>
        </w:rPr>
        <w:t>電子信箱：</w:t>
      </w:r>
      <w:r>
        <w:t>shufang@forest.gov.tw</w:t>
      </w:r>
    </w:p>
    <w:p w:rsidR="009B718A" w:rsidRDefault="009B718A" w:rsidP="009B718A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9B718A" w:rsidRDefault="009B718A" w:rsidP="009B718A">
      <w:pPr>
        <w:pStyle w:val="aa"/>
      </w:pPr>
      <w:r>
        <w:rPr>
          <w:rFonts w:hint="eastAsia"/>
        </w:rPr>
        <w:t>發文日期：中華民國</w:t>
      </w:r>
      <w:r>
        <w:t>105年3月9日</w:t>
      </w:r>
    </w:p>
    <w:p w:rsidR="009B718A" w:rsidRDefault="009B718A" w:rsidP="009B718A">
      <w:pPr>
        <w:pStyle w:val="ab"/>
      </w:pPr>
      <w:r>
        <w:rPr>
          <w:rFonts w:hint="eastAsia"/>
        </w:rPr>
        <w:t>發文字號：嘉育字第</w:t>
      </w:r>
      <w:r>
        <w:t>1055240371號</w:t>
      </w:r>
    </w:p>
    <w:p w:rsidR="009B718A" w:rsidRDefault="009B718A" w:rsidP="009B718A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9B718A" w:rsidRDefault="009B718A" w:rsidP="009B718A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9B718A" w:rsidRDefault="009B718A" w:rsidP="009B718A">
      <w:pPr>
        <w:pStyle w:val="af8"/>
        <w:rPr>
          <w:rFonts w:hint="eastAsia"/>
        </w:rPr>
      </w:pPr>
      <w:r>
        <w:rPr>
          <w:rFonts w:hint="eastAsia"/>
        </w:rPr>
        <w:t>附件：如主旨</w:t>
      </w:r>
    </w:p>
    <w:p w:rsidR="009B718A" w:rsidRDefault="009B718A" w:rsidP="009B718A">
      <w:pPr>
        <w:pStyle w:val="ad"/>
      </w:pPr>
      <w:r>
        <w:rPr>
          <w:rFonts w:hint="eastAsia"/>
        </w:rPr>
        <w:t>主旨：檢送本處觸口自然教育中心</w:t>
      </w:r>
      <w:r>
        <w:t>105年度暑期大專院校學生實習計畫1份，敬請鼓勵貴校學生提出申請，申請時間自即日起至105年5月20日止，請查照。</w:t>
      </w:r>
    </w:p>
    <w:p w:rsidR="009B718A" w:rsidRDefault="009B718A" w:rsidP="009B718A">
      <w:pPr>
        <w:pStyle w:val="ae"/>
        <w:rPr>
          <w:rFonts w:hint="eastAsia"/>
        </w:rPr>
      </w:pPr>
      <w:r>
        <w:rPr>
          <w:rFonts w:hint="eastAsia"/>
        </w:rPr>
        <w:t>說明：</w:t>
      </w:r>
    </w:p>
    <w:p w:rsidR="009B718A" w:rsidRPr="009B718A" w:rsidRDefault="009B718A" w:rsidP="009B718A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本處為促進觸口自然教育中心與大專院校學術機構合作，訂定本實習計畫，提供學生於</w:t>
      </w:r>
      <w:r>
        <w:rPr>
          <w:rFonts w:hint="eastAsia"/>
        </w:rPr>
        <w:t>105</w:t>
      </w:r>
      <w:r>
        <w:rPr>
          <w:rFonts w:hint="eastAsia"/>
        </w:rPr>
        <w:t>年暑假期間至中心實習並參與環境教育實務，以培育未來環境教育專業從業人員。</w:t>
      </w:r>
    </w:p>
    <w:p w:rsidR="009B718A" w:rsidRPr="009B718A" w:rsidRDefault="009B718A" w:rsidP="009B718A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實習地點為觸口自然教育中心（嘉義縣番路鄉新福村</w:t>
      </w:r>
      <w:r>
        <w:rPr>
          <w:rFonts w:hint="eastAsia"/>
        </w:rPr>
        <w:t>1</w:t>
      </w:r>
      <w:r>
        <w:rPr>
          <w:rFonts w:hint="eastAsia"/>
        </w:rPr>
        <w:t>鄰五虎寮</w:t>
      </w:r>
      <w:r>
        <w:rPr>
          <w:rFonts w:hint="eastAsia"/>
        </w:rPr>
        <w:t>18</w:t>
      </w:r>
      <w:r>
        <w:rPr>
          <w:rFonts w:hint="eastAsia"/>
        </w:rPr>
        <w:t>號），本處提供實習期間團體保險，另請自備住宿、膳食及交通工具，實習期間自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日，實習時數需達</w:t>
      </w:r>
      <w:r>
        <w:rPr>
          <w:rFonts w:hint="eastAsia"/>
        </w:rPr>
        <w:t>240</w:t>
      </w:r>
      <w:r>
        <w:rPr>
          <w:rFonts w:hint="eastAsia"/>
        </w:rPr>
        <w:t>小時，相關申請辦法請參閱計畫書。</w:t>
      </w:r>
    </w:p>
    <w:p w:rsidR="009B718A" w:rsidRDefault="009B718A" w:rsidP="009B718A">
      <w:pPr>
        <w:pStyle w:val="af0"/>
        <w:rPr>
          <w:rFonts w:hint="eastAsia"/>
        </w:rPr>
      </w:pPr>
      <w:r>
        <w:rPr>
          <w:rFonts w:hint="eastAsia"/>
        </w:rPr>
        <w:t>正本：國立政治大學、國立清華大學、國立臺灣大學、國立臺灣師範大學、國立成功大學、國立中興大學、國立交通大學、國立中央大學、國立中山大學、國立臺灣海洋大學、國立中正大學、國立高雄師範大學、國立彰化師範大學、國立陽明大學、國立臺北大學、國立嘉義大學、國立高雄大學、國立東華大學、國立暨南國際大學、國立臺灣科技大學、國立雲林科技大學、國立屏東科技大學、國立臺北科技大學、國立高雄第一科技大學、國立高雄應用科技大學、國立臺北藝術大學、國立臺灣藝術大學、國立臺東大學、國立宜蘭大學、國立聯合大學、國立虎尾科技大學、國立高雄海洋科技大學、國立臺南藝術大學、國立臺南大學、國立臺北教育大學、國立新竹教育大學、國立臺中教育大學</w:t>
      </w:r>
      <w:r>
        <w:rPr>
          <w:rFonts w:hint="eastAsia"/>
        </w:rPr>
        <w:lastRenderedPageBreak/>
        <w:t>、國立屏東教育大學、國立勤益科技大學、國立體育大學、東海大學、輔仁大學、東吳大學、中原大學、淡江大學、中國文化大學、逢甲大學、靜宜大學、長庚大學、元智大學、中華大學、大葉大學、華梵大學、義守大學、世新大學、銘傳大學、實踐大學、朝陽科技大學、高雄醫學大學、南華大學、真理大學、大同大學、慈濟大學、臺北醫學大學、中山醫學大學、大漢技術學院、慈濟技術學院、臺灣觀光學院、臺北市立大學</w:t>
      </w:r>
    </w:p>
    <w:p w:rsidR="009B718A" w:rsidRPr="009B718A" w:rsidRDefault="009B718A" w:rsidP="009B718A">
      <w:pPr>
        <w:pStyle w:val="af1"/>
        <w:rPr>
          <w:rFonts w:hint="eastAsia"/>
        </w:rPr>
      </w:pPr>
      <w:r>
        <w:rPr>
          <w:rFonts w:hint="eastAsia"/>
        </w:rPr>
        <w:t>副本：行政院農業委員會林務局羅東林區管理處</w:t>
      </w:r>
      <w:r>
        <w:t>(含附件)、行政院農業委員會林務局新竹林區管理處(含附件)、行政院農業委員會林務局東勢林區管理處(含附件)、行政院農業委員會林務局南投林區管理處(含附件)、行政院農業委員會林務局屏東林區管理處(含附件)、行政院農業委員會林務局臺東林區管理處(含附件)、行政院農業委員會林務局花蓮林區管理處(含附件)、本處觸口工作站(含附件)、育樂課(含附件)</w:t>
      </w:r>
    </w:p>
    <w:sectPr w:rsidR="009B718A" w:rsidRPr="009B718A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84D" w:rsidRDefault="000D184D">
      <w:r>
        <w:separator/>
      </w:r>
    </w:p>
  </w:endnote>
  <w:endnote w:type="continuationSeparator" w:id="0">
    <w:p w:rsidR="000D184D" w:rsidRDefault="000D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184D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0D184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9B718A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9B718A">
      <w:rPr>
        <w:rStyle w:val="a5"/>
        <w:rFonts w:ascii="標楷體" w:eastAsia="標楷體" w:hAnsi="標楷體"/>
        <w:noProof/>
      </w:rPr>
      <w:t>二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84D" w:rsidRDefault="000D184D">
      <w:r>
        <w:separator/>
      </w:r>
    </w:p>
  </w:footnote>
  <w:footnote w:type="continuationSeparator" w:id="0">
    <w:p w:rsidR="000D184D" w:rsidRDefault="000D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184D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0D184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0D184D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B5D"/>
    <w:multiLevelType w:val="multilevel"/>
    <w:tmpl w:val="7D4EBE96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4D"/>
    <w:rsid w:val="000D184D"/>
    <w:rsid w:val="009B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2016-03-10T00:43:00Z</dcterms:created>
  <dcterms:modified xsi:type="dcterms:W3CDTF">2016-03-10T00:45:00Z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